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13.01.2023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Л030-00114-77/00064824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163793,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"АрктикТелеком" (АО "АТК"); адрес местонахождения: 677027, Республика Саха (Якутия), г.о. город Якутск, г. Якутск, ул. Октябрьская, д. 10/1; ОГРН: 1211400005123; телефон: +7 411 232-20-19; адрес электронной почты: info@a-telecom.ru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1435360410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Л030-00114-77/00064824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